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19" w:rsidRDefault="008B2774" w:rsidP="00BB2009">
      <w:pPr>
        <w:tabs>
          <w:tab w:val="left" w:pos="876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Prescribing Tip No.</w:t>
      </w:r>
      <w:r w:rsidR="00606738">
        <w:rPr>
          <w:rFonts w:ascii="Arial" w:eastAsia="Calibri" w:hAnsi="Arial" w:cs="Arial"/>
          <w:b/>
          <w:sz w:val="22"/>
          <w:szCs w:val="22"/>
          <w:lang w:eastAsia="en-US"/>
        </w:rPr>
        <w:t xml:space="preserve"> 178</w:t>
      </w:r>
      <w:r w:rsidR="0084208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4FE1">
        <w:rPr>
          <w:rFonts w:ascii="Arial" w:eastAsia="Calibri" w:hAnsi="Arial" w:cs="Arial"/>
          <w:b/>
          <w:sz w:val="22"/>
          <w:szCs w:val="22"/>
          <w:lang w:eastAsia="en-US"/>
        </w:rPr>
        <w:t>Date:</w:t>
      </w:r>
      <w:r w:rsidR="00606738">
        <w:rPr>
          <w:rFonts w:ascii="Arial" w:eastAsia="Calibri" w:hAnsi="Arial" w:cs="Arial"/>
          <w:b/>
          <w:sz w:val="22"/>
          <w:szCs w:val="22"/>
          <w:lang w:eastAsia="en-US"/>
        </w:rPr>
        <w:t xml:space="preserve"> 5</w:t>
      </w:r>
      <w:r w:rsidR="00606738" w:rsidRPr="00606738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t>th</w:t>
      </w:r>
      <w:r w:rsidR="00606738">
        <w:rPr>
          <w:rFonts w:ascii="Arial" w:eastAsia="Calibri" w:hAnsi="Arial" w:cs="Arial"/>
          <w:b/>
          <w:sz w:val="22"/>
          <w:szCs w:val="22"/>
          <w:lang w:eastAsia="en-US"/>
        </w:rPr>
        <w:t xml:space="preserve"> October 2017</w:t>
      </w:r>
      <w:r w:rsidR="00F24FE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3E2E73" w:rsidRPr="00B41FF2" w:rsidRDefault="00B41FF2" w:rsidP="003E2E73">
      <w:pPr>
        <w:tabs>
          <w:tab w:val="left" w:pos="8760"/>
        </w:tabs>
        <w:jc w:val="center"/>
        <w:rPr>
          <w:rFonts w:ascii="Arial" w:eastAsia="Calibri" w:hAnsi="Arial" w:cs="Arial"/>
          <w:b/>
          <w:sz w:val="27"/>
          <w:szCs w:val="27"/>
          <w:u w:val="single"/>
          <w:lang w:eastAsia="en-US"/>
        </w:rPr>
      </w:pPr>
      <w:r w:rsidRPr="00B41FF2">
        <w:rPr>
          <w:rFonts w:ascii="Arial" w:eastAsia="Calibri" w:hAnsi="Arial" w:cs="Arial"/>
          <w:b/>
          <w:sz w:val="27"/>
          <w:szCs w:val="27"/>
          <w:u w:val="single"/>
          <w:lang w:eastAsia="en-US"/>
        </w:rPr>
        <w:t>New Local Diabetes G</w:t>
      </w:r>
      <w:r w:rsidR="007450CC" w:rsidRPr="00B41FF2">
        <w:rPr>
          <w:rFonts w:ascii="Arial" w:eastAsia="Calibri" w:hAnsi="Arial" w:cs="Arial"/>
          <w:b/>
          <w:sz w:val="27"/>
          <w:szCs w:val="27"/>
          <w:u w:val="single"/>
          <w:lang w:eastAsia="en-US"/>
        </w:rPr>
        <w:t>uidance</w:t>
      </w:r>
      <w:r w:rsidRPr="00B41FF2">
        <w:rPr>
          <w:rFonts w:ascii="Arial" w:eastAsia="Calibri" w:hAnsi="Arial" w:cs="Arial"/>
          <w:b/>
          <w:sz w:val="27"/>
          <w:szCs w:val="27"/>
          <w:u w:val="single"/>
          <w:lang w:eastAsia="en-US"/>
        </w:rPr>
        <w:t xml:space="preserve"> </w:t>
      </w:r>
      <w:proofErr w:type="gramStart"/>
      <w:r w:rsidRPr="00B41FF2">
        <w:rPr>
          <w:rFonts w:ascii="Arial" w:eastAsia="Calibri" w:hAnsi="Arial" w:cs="Arial"/>
          <w:b/>
          <w:sz w:val="27"/>
          <w:szCs w:val="27"/>
          <w:u w:val="single"/>
          <w:lang w:eastAsia="en-US"/>
        </w:rPr>
        <w:t>On</w:t>
      </w:r>
      <w:proofErr w:type="gramEnd"/>
      <w:r w:rsidRPr="00B41FF2">
        <w:rPr>
          <w:rFonts w:ascii="Arial" w:eastAsia="Calibri" w:hAnsi="Arial" w:cs="Arial"/>
          <w:b/>
          <w:sz w:val="27"/>
          <w:szCs w:val="27"/>
          <w:u w:val="single"/>
          <w:lang w:eastAsia="en-US"/>
        </w:rPr>
        <w:t xml:space="preserve"> Sharepoint</w:t>
      </w:r>
    </w:p>
    <w:p w:rsidR="00655503" w:rsidRDefault="00655503" w:rsidP="003E2E73">
      <w:pPr>
        <w:tabs>
          <w:tab w:val="left" w:pos="8760"/>
        </w:tabs>
        <w:jc w:val="center"/>
        <w:rPr>
          <w:rFonts w:ascii="Arial" w:eastAsia="Calibri" w:hAnsi="Arial" w:cs="Arial"/>
          <w:b/>
          <w:lang w:eastAsia="en-US"/>
        </w:rPr>
      </w:pPr>
    </w:p>
    <w:p w:rsidR="00655503" w:rsidRPr="00961D55" w:rsidRDefault="00655503" w:rsidP="003E2E73">
      <w:pPr>
        <w:tabs>
          <w:tab w:val="left" w:pos="8760"/>
        </w:tabs>
        <w:jc w:val="center"/>
        <w:rPr>
          <w:rFonts w:ascii="Arial" w:eastAsia="Calibri" w:hAnsi="Arial" w:cs="Arial"/>
          <w:b/>
          <w:lang w:eastAsia="en-US"/>
        </w:rPr>
      </w:pPr>
      <w:r>
        <w:rPr>
          <w:noProof/>
          <w:color w:val="0000FF"/>
        </w:rPr>
        <w:drawing>
          <wp:inline distT="0" distB="0" distL="0" distR="0" wp14:anchorId="428CA2FB" wp14:editId="7C26C331">
            <wp:extent cx="1110690" cy="739834"/>
            <wp:effectExtent l="0" t="0" r="0" b="3175"/>
            <wp:docPr id="5" name="irc_mi" descr="Image result for diab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abet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32" cy="7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73" w:rsidRDefault="003E2E73" w:rsidP="00BB2009">
      <w:pPr>
        <w:tabs>
          <w:tab w:val="left" w:pos="8760"/>
        </w:tabs>
        <w:rPr>
          <w:noProof/>
        </w:rPr>
      </w:pPr>
    </w:p>
    <w:p w:rsidR="007450CC" w:rsidRPr="00B41FF2" w:rsidRDefault="007450CC" w:rsidP="007B12A8">
      <w:pPr>
        <w:tabs>
          <w:tab w:val="left" w:pos="8760"/>
        </w:tabs>
        <w:jc w:val="both"/>
        <w:rPr>
          <w:rFonts w:ascii="Arial" w:eastAsia="Calibri" w:hAnsi="Arial" w:cs="Arial"/>
          <w:b/>
          <w:color w:val="0000FF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b/>
          <w:sz w:val="22"/>
          <w:szCs w:val="22"/>
          <w:lang w:eastAsia="en-US"/>
        </w:rPr>
        <w:t xml:space="preserve">The Medicines Optimisation team have recently </w:t>
      </w:r>
      <w:r w:rsidR="00655503" w:rsidRPr="00B41FF2">
        <w:rPr>
          <w:rFonts w:ascii="Arial" w:eastAsia="Calibri" w:hAnsi="Arial" w:cs="Arial"/>
          <w:b/>
          <w:sz w:val="22"/>
          <w:szCs w:val="22"/>
          <w:lang w:eastAsia="en-US"/>
        </w:rPr>
        <w:t>worked</w:t>
      </w:r>
      <w:r w:rsidRPr="00B41FF2">
        <w:rPr>
          <w:rFonts w:ascii="Arial" w:eastAsia="Calibri" w:hAnsi="Arial" w:cs="Arial"/>
          <w:b/>
          <w:sz w:val="22"/>
          <w:szCs w:val="22"/>
          <w:lang w:eastAsia="en-US"/>
        </w:rPr>
        <w:t xml:space="preserve"> together with local diabetes specialists to develop</w:t>
      </w:r>
      <w:r w:rsidR="00655503" w:rsidRPr="00B41FF2">
        <w:rPr>
          <w:rFonts w:ascii="Arial" w:eastAsia="Calibri" w:hAnsi="Arial" w:cs="Arial"/>
          <w:b/>
          <w:sz w:val="22"/>
          <w:szCs w:val="22"/>
          <w:lang w:eastAsia="en-US"/>
        </w:rPr>
        <w:t xml:space="preserve"> a </w:t>
      </w:r>
      <w:r w:rsidR="00B52228" w:rsidRPr="00B41FF2">
        <w:rPr>
          <w:rFonts w:ascii="Arial" w:eastAsia="Calibri" w:hAnsi="Arial" w:cs="Arial"/>
          <w:b/>
          <w:color w:val="0000FF"/>
          <w:sz w:val="22"/>
          <w:szCs w:val="22"/>
          <w:lang w:eastAsia="en-US"/>
        </w:rPr>
        <w:t>D</w:t>
      </w:r>
      <w:r w:rsidR="00655503" w:rsidRPr="00B41FF2">
        <w:rPr>
          <w:rFonts w:ascii="Arial" w:eastAsia="Calibri" w:hAnsi="Arial" w:cs="Arial"/>
          <w:b/>
          <w:color w:val="0000FF"/>
          <w:sz w:val="22"/>
          <w:szCs w:val="22"/>
          <w:lang w:eastAsia="en-US"/>
        </w:rPr>
        <w:t>iabetes Prescribing Al</w:t>
      </w:r>
      <w:bookmarkStart w:id="0" w:name="_GoBack"/>
      <w:bookmarkEnd w:id="0"/>
      <w:r w:rsidR="00655503" w:rsidRPr="00B41FF2">
        <w:rPr>
          <w:rFonts w:ascii="Arial" w:eastAsia="Calibri" w:hAnsi="Arial" w:cs="Arial"/>
          <w:b/>
          <w:color w:val="0000FF"/>
          <w:sz w:val="22"/>
          <w:szCs w:val="22"/>
          <w:lang w:eastAsia="en-US"/>
        </w:rPr>
        <w:t>gorithm</w:t>
      </w:r>
      <w:r w:rsidR="00655503" w:rsidRPr="00B41FF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32052" w:rsidRPr="00B41FF2">
        <w:rPr>
          <w:rFonts w:ascii="Arial" w:eastAsia="Calibri" w:hAnsi="Arial" w:cs="Arial"/>
          <w:b/>
          <w:sz w:val="22"/>
          <w:szCs w:val="22"/>
          <w:lang w:eastAsia="en-US"/>
        </w:rPr>
        <w:t xml:space="preserve">for use in patients with type 2 </w:t>
      </w:r>
      <w:r w:rsidR="00655503" w:rsidRPr="00B41FF2">
        <w:rPr>
          <w:rFonts w:ascii="Arial" w:eastAsia="Calibri" w:hAnsi="Arial" w:cs="Arial"/>
          <w:b/>
          <w:sz w:val="22"/>
          <w:szCs w:val="22"/>
          <w:lang w:eastAsia="en-US"/>
        </w:rPr>
        <w:t xml:space="preserve">diabetes </w:t>
      </w:r>
      <w:r w:rsidR="00260791" w:rsidRPr="00B41FF2">
        <w:rPr>
          <w:rFonts w:ascii="Arial" w:eastAsia="Calibri" w:hAnsi="Arial" w:cs="Arial"/>
          <w:b/>
          <w:sz w:val="22"/>
          <w:szCs w:val="22"/>
          <w:lang w:eastAsia="en-US"/>
        </w:rPr>
        <w:t xml:space="preserve">mellitus </w:t>
      </w:r>
      <w:r w:rsidR="00655503" w:rsidRPr="00B41FF2">
        <w:rPr>
          <w:rFonts w:ascii="Arial" w:eastAsia="Calibri" w:hAnsi="Arial" w:cs="Arial"/>
          <w:b/>
          <w:sz w:val="22"/>
          <w:szCs w:val="22"/>
          <w:lang w:eastAsia="en-US"/>
        </w:rPr>
        <w:t xml:space="preserve">and </w:t>
      </w:r>
      <w:r w:rsidR="00655503" w:rsidRPr="00B41FF2">
        <w:rPr>
          <w:rFonts w:ascii="Arial" w:eastAsia="Calibri" w:hAnsi="Arial" w:cs="Arial"/>
          <w:b/>
          <w:color w:val="0000FF"/>
          <w:sz w:val="22"/>
          <w:szCs w:val="22"/>
          <w:lang w:eastAsia="en-US"/>
        </w:rPr>
        <w:t>Guidance on the choice of blood glucose monitoring meters and test strips.</w:t>
      </w:r>
    </w:p>
    <w:p w:rsidR="007450CC" w:rsidRPr="00B41FF2" w:rsidRDefault="007450CC" w:rsidP="007B12A8">
      <w:p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5503" w:rsidRPr="00B41FF2" w:rsidRDefault="0068007C" w:rsidP="007B12A8">
      <w:pPr>
        <w:tabs>
          <w:tab w:val="left" w:pos="8760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b/>
          <w:sz w:val="22"/>
          <w:szCs w:val="22"/>
          <w:lang w:eastAsia="en-US"/>
        </w:rPr>
        <w:t>The prescribing algorithm offers guidance on</w:t>
      </w:r>
      <w:r w:rsidR="00260791" w:rsidRPr="00B41FF2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655503" w:rsidRPr="00B41FF2" w:rsidRDefault="00655503" w:rsidP="007B12A8">
      <w:p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5503" w:rsidRPr="00B41FF2" w:rsidRDefault="00655503" w:rsidP="007B12A8">
      <w:pPr>
        <w:pStyle w:val="ListParagraph"/>
        <w:numPr>
          <w:ilvl w:val="0"/>
          <w:numId w:val="37"/>
        </w:num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sz w:val="22"/>
          <w:szCs w:val="22"/>
          <w:lang w:eastAsia="en-US"/>
        </w:rPr>
        <w:t>Choice of</w:t>
      </w:r>
      <w:r w:rsidR="00BA7640" w:rsidRPr="00B41FF2">
        <w:rPr>
          <w:rFonts w:ascii="Arial" w:eastAsia="Calibri" w:hAnsi="Arial" w:cs="Arial"/>
          <w:sz w:val="22"/>
          <w:szCs w:val="22"/>
          <w:lang w:eastAsia="en-US"/>
        </w:rPr>
        <w:t xml:space="preserve"> oral</w:t>
      </w:r>
      <w:r w:rsidRPr="00B41FF2">
        <w:rPr>
          <w:rFonts w:ascii="Arial" w:eastAsia="Calibri" w:hAnsi="Arial" w:cs="Arial"/>
          <w:sz w:val="22"/>
          <w:szCs w:val="22"/>
          <w:lang w:eastAsia="en-US"/>
        </w:rPr>
        <w:t xml:space="preserve"> treatment to use when initiating patients</w:t>
      </w:r>
      <w:r w:rsidR="005517B3" w:rsidRPr="00B41FF2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B52228" w:rsidRPr="00B41FF2" w:rsidRDefault="00B52228" w:rsidP="007B12A8">
      <w:pPr>
        <w:pStyle w:val="ListParagraph"/>
        <w:numPr>
          <w:ilvl w:val="0"/>
          <w:numId w:val="37"/>
        </w:num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sz w:val="22"/>
          <w:szCs w:val="22"/>
          <w:lang w:eastAsia="en-US"/>
        </w:rPr>
        <w:t>Combinations of drugs approved for use at each drug</w:t>
      </w:r>
      <w:r w:rsidR="00BA7640" w:rsidRPr="00B41FF2">
        <w:rPr>
          <w:rFonts w:ascii="Arial" w:eastAsia="Calibri" w:hAnsi="Arial" w:cs="Arial"/>
          <w:sz w:val="22"/>
          <w:szCs w:val="22"/>
          <w:lang w:eastAsia="en-US"/>
        </w:rPr>
        <w:t xml:space="preserve"> ‘</w:t>
      </w:r>
      <w:r w:rsidRPr="00B41FF2">
        <w:rPr>
          <w:rFonts w:ascii="Arial" w:eastAsia="Calibri" w:hAnsi="Arial" w:cs="Arial"/>
          <w:sz w:val="22"/>
          <w:szCs w:val="22"/>
          <w:lang w:eastAsia="en-US"/>
        </w:rPr>
        <w:t>intensification</w:t>
      </w:r>
      <w:r w:rsidR="00BA7640" w:rsidRPr="00B41FF2">
        <w:rPr>
          <w:rFonts w:ascii="Arial" w:eastAsia="Calibri" w:hAnsi="Arial" w:cs="Arial"/>
          <w:sz w:val="22"/>
          <w:szCs w:val="22"/>
          <w:lang w:eastAsia="en-US"/>
        </w:rPr>
        <w:t>’</w:t>
      </w:r>
      <w:r w:rsidR="005517B3" w:rsidRPr="00B41FF2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B52228" w:rsidRPr="00B41FF2" w:rsidRDefault="00B52228" w:rsidP="007B12A8">
      <w:pPr>
        <w:pStyle w:val="ListParagraph"/>
        <w:numPr>
          <w:ilvl w:val="0"/>
          <w:numId w:val="37"/>
        </w:num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sz w:val="22"/>
          <w:szCs w:val="22"/>
          <w:lang w:eastAsia="en-US"/>
        </w:rPr>
        <w:t xml:space="preserve">Formulary choice recommendations for </w:t>
      </w:r>
      <w:r w:rsidR="00260791" w:rsidRPr="00B41FF2">
        <w:rPr>
          <w:rFonts w:ascii="Arial" w:eastAsia="Calibri" w:hAnsi="Arial" w:cs="Arial"/>
          <w:sz w:val="22"/>
          <w:szCs w:val="22"/>
          <w:lang w:eastAsia="en-US"/>
        </w:rPr>
        <w:t>s</w:t>
      </w:r>
      <w:r w:rsidR="00BA7640" w:rsidRPr="00B41FF2">
        <w:rPr>
          <w:rFonts w:ascii="Arial" w:eastAsia="Calibri" w:hAnsi="Arial" w:cs="Arial"/>
          <w:sz w:val="22"/>
          <w:szCs w:val="22"/>
          <w:lang w:eastAsia="en-US"/>
        </w:rPr>
        <w:t xml:space="preserve">ulphonylureas, </w:t>
      </w:r>
      <w:r w:rsidR="00260791" w:rsidRPr="00B41FF2">
        <w:rPr>
          <w:rFonts w:ascii="Arial" w:eastAsia="Calibri" w:hAnsi="Arial" w:cs="Arial"/>
          <w:sz w:val="22"/>
          <w:szCs w:val="22"/>
          <w:lang w:eastAsia="en-US"/>
        </w:rPr>
        <w:t>DPP4-inhibitors (g</w:t>
      </w:r>
      <w:r w:rsidRPr="00B41FF2">
        <w:rPr>
          <w:rFonts w:ascii="Arial" w:eastAsia="Calibri" w:hAnsi="Arial" w:cs="Arial"/>
          <w:sz w:val="22"/>
          <w:szCs w:val="22"/>
          <w:lang w:eastAsia="en-US"/>
        </w:rPr>
        <w:t>liptins</w:t>
      </w:r>
      <w:r w:rsidR="00260791" w:rsidRPr="00B41FF2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B41FF2">
        <w:rPr>
          <w:rFonts w:ascii="Arial" w:eastAsia="Calibri" w:hAnsi="Arial" w:cs="Arial"/>
          <w:sz w:val="22"/>
          <w:szCs w:val="22"/>
          <w:lang w:eastAsia="en-US"/>
        </w:rPr>
        <w:t xml:space="preserve"> and </w:t>
      </w:r>
      <w:r w:rsidR="00260791" w:rsidRPr="00B41FF2">
        <w:rPr>
          <w:rFonts w:ascii="Arial" w:eastAsia="Calibri" w:hAnsi="Arial" w:cs="Arial"/>
          <w:sz w:val="22"/>
          <w:szCs w:val="22"/>
          <w:lang w:eastAsia="en-US"/>
        </w:rPr>
        <w:t>SGLT</w:t>
      </w:r>
      <w:r w:rsidR="00260791" w:rsidRPr="00B41FF2">
        <w:rPr>
          <w:rFonts w:ascii="Arial" w:eastAsia="Calibri" w:hAnsi="Arial" w:cs="Arial"/>
          <w:sz w:val="22"/>
          <w:szCs w:val="22"/>
          <w:vertAlign w:val="subscript"/>
          <w:lang w:eastAsia="en-US"/>
        </w:rPr>
        <w:t>2</w:t>
      </w:r>
      <w:r w:rsidR="00260791" w:rsidRPr="00B41FF2">
        <w:rPr>
          <w:rFonts w:ascii="Arial" w:eastAsia="Calibri" w:hAnsi="Arial" w:cs="Arial"/>
          <w:sz w:val="22"/>
          <w:szCs w:val="22"/>
          <w:lang w:eastAsia="en-US"/>
        </w:rPr>
        <w:t>-inhibitors (g</w:t>
      </w:r>
      <w:r w:rsidRPr="00B41FF2">
        <w:rPr>
          <w:rFonts w:ascii="Arial" w:eastAsia="Calibri" w:hAnsi="Arial" w:cs="Arial"/>
          <w:sz w:val="22"/>
          <w:szCs w:val="22"/>
          <w:lang w:eastAsia="en-US"/>
        </w:rPr>
        <w:t>liflozins</w:t>
      </w:r>
      <w:r w:rsidR="00260791" w:rsidRPr="00B41FF2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B41FF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52228" w:rsidRPr="00B41FF2" w:rsidRDefault="00655503" w:rsidP="007B12A8">
      <w:pPr>
        <w:pStyle w:val="ListParagraph"/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450CC" w:rsidRPr="00B41FF2" w:rsidRDefault="00B52228" w:rsidP="007B12A8">
      <w:p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sz w:val="22"/>
          <w:szCs w:val="22"/>
          <w:lang w:eastAsia="en-US"/>
        </w:rPr>
        <w:t>The algorithm also incorporates prima</w:t>
      </w:r>
      <w:r w:rsidR="00655503" w:rsidRPr="00B41FF2">
        <w:rPr>
          <w:rFonts w:ascii="Arial" w:eastAsia="Calibri" w:hAnsi="Arial" w:cs="Arial"/>
          <w:sz w:val="22"/>
          <w:szCs w:val="22"/>
          <w:lang w:eastAsia="en-US"/>
        </w:rPr>
        <w:t>ry care pathway</w:t>
      </w:r>
      <w:r w:rsidRPr="00B41FF2">
        <w:rPr>
          <w:rFonts w:ascii="Arial" w:eastAsia="Calibri" w:hAnsi="Arial" w:cs="Arial"/>
          <w:sz w:val="22"/>
          <w:szCs w:val="22"/>
          <w:lang w:eastAsia="en-US"/>
        </w:rPr>
        <w:t>s</w:t>
      </w:r>
      <w:r w:rsidR="00655503" w:rsidRPr="00B41FF2">
        <w:rPr>
          <w:rFonts w:ascii="Arial" w:eastAsia="Calibri" w:hAnsi="Arial" w:cs="Arial"/>
          <w:sz w:val="22"/>
          <w:szCs w:val="22"/>
          <w:lang w:eastAsia="en-US"/>
        </w:rPr>
        <w:t xml:space="preserve"> for the initiation of GLP1 and </w:t>
      </w:r>
      <w:r w:rsidRPr="00B41FF2">
        <w:rPr>
          <w:rFonts w:ascii="Arial" w:eastAsia="Calibri" w:hAnsi="Arial" w:cs="Arial"/>
          <w:sz w:val="22"/>
          <w:szCs w:val="22"/>
          <w:lang w:eastAsia="en-US"/>
        </w:rPr>
        <w:t>insulin therapy.</w:t>
      </w:r>
    </w:p>
    <w:p w:rsidR="006C2956" w:rsidRPr="00B41FF2" w:rsidRDefault="006C2956" w:rsidP="007B12A8">
      <w:p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5503" w:rsidRPr="00B41FF2" w:rsidRDefault="005517B3" w:rsidP="00260791">
      <w:pPr>
        <w:tabs>
          <w:tab w:val="left" w:pos="8760"/>
        </w:tabs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sz w:val="22"/>
          <w:szCs w:val="22"/>
          <w:lang w:eastAsia="en-US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AcroExch.Document.DC" ShapeID="_x0000_i1025" DrawAspect="Icon" ObjectID="_1568723842" r:id="rId12"/>
        </w:object>
      </w:r>
      <w:r w:rsidR="006C2956" w:rsidRPr="00B41FF2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bookmarkStart w:id="1" w:name="_MON_1567838950"/>
      <w:bookmarkEnd w:id="1"/>
      <w:r w:rsidR="006C2956" w:rsidRPr="00B41FF2">
        <w:rPr>
          <w:rFonts w:ascii="Arial" w:eastAsia="Calibri" w:hAnsi="Arial" w:cs="Arial"/>
          <w:sz w:val="22"/>
          <w:szCs w:val="22"/>
          <w:lang w:eastAsia="en-US"/>
        </w:rPr>
        <w:object w:dxaOrig="1531" w:dyaOrig="990">
          <v:shape id="_x0000_i1026" type="#_x0000_t75" style="width:76.5pt;height:49.5pt" o:ole="">
            <v:imagedata r:id="rId13" o:title=""/>
          </v:shape>
          <o:OLEObject Type="Embed" ProgID="Word.Document.12" ShapeID="_x0000_i1026" DrawAspect="Icon" ObjectID="_1568723843" r:id="rId14">
            <o:FieldCodes>\s</o:FieldCodes>
          </o:OLEObject>
        </w:object>
      </w:r>
      <w:r w:rsidR="006C2956" w:rsidRPr="00B41FF2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bookmarkStart w:id="2" w:name="_MON_1567839062"/>
      <w:bookmarkEnd w:id="2"/>
      <w:r w:rsidR="006C2956" w:rsidRPr="00B41FF2">
        <w:rPr>
          <w:rFonts w:ascii="Arial" w:eastAsia="Calibri" w:hAnsi="Arial" w:cs="Arial"/>
          <w:sz w:val="22"/>
          <w:szCs w:val="22"/>
          <w:lang w:eastAsia="en-US"/>
        </w:rPr>
        <w:object w:dxaOrig="1531" w:dyaOrig="990">
          <v:shape id="_x0000_i1027" type="#_x0000_t75" style="width:76.5pt;height:49.5pt" o:ole="">
            <v:imagedata r:id="rId15" o:title=""/>
          </v:shape>
          <o:OLEObject Type="Embed" ProgID="Word.Document.12" ShapeID="_x0000_i1027" DrawAspect="Icon" ObjectID="_1568723844" r:id="rId16">
            <o:FieldCodes>\s</o:FieldCodes>
          </o:OLEObject>
        </w:object>
      </w:r>
    </w:p>
    <w:p w:rsidR="006C2956" w:rsidRPr="00B41FF2" w:rsidRDefault="006C2956" w:rsidP="007B12A8">
      <w:p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A7640" w:rsidRPr="00B41FF2" w:rsidRDefault="00B52228" w:rsidP="007B12A8">
      <w:pPr>
        <w:tabs>
          <w:tab w:val="left" w:pos="8760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b/>
          <w:sz w:val="22"/>
          <w:szCs w:val="22"/>
          <w:lang w:eastAsia="en-US"/>
        </w:rPr>
        <w:t>The g</w:t>
      </w:r>
      <w:r w:rsidR="007450CC" w:rsidRPr="00B41FF2">
        <w:rPr>
          <w:rFonts w:ascii="Arial" w:eastAsia="Calibri" w:hAnsi="Arial" w:cs="Arial"/>
          <w:b/>
          <w:sz w:val="22"/>
          <w:szCs w:val="22"/>
          <w:lang w:eastAsia="en-US"/>
        </w:rPr>
        <w:t>uidance on the choice of blood glucos</w:t>
      </w:r>
      <w:r w:rsidR="005517B3" w:rsidRPr="00B41FF2">
        <w:rPr>
          <w:rFonts w:ascii="Arial" w:eastAsia="Calibri" w:hAnsi="Arial" w:cs="Arial"/>
          <w:b/>
          <w:sz w:val="22"/>
          <w:szCs w:val="22"/>
          <w:lang w:eastAsia="en-US"/>
        </w:rPr>
        <w:t>e monitoring meters and</w:t>
      </w:r>
      <w:r w:rsidR="007450CC" w:rsidRPr="00B41FF2">
        <w:rPr>
          <w:rFonts w:ascii="Arial" w:eastAsia="Calibri" w:hAnsi="Arial" w:cs="Arial"/>
          <w:b/>
          <w:sz w:val="22"/>
          <w:szCs w:val="22"/>
          <w:lang w:eastAsia="en-US"/>
        </w:rPr>
        <w:t xml:space="preserve"> test strips</w:t>
      </w:r>
      <w:r w:rsidRPr="00B41FF2">
        <w:rPr>
          <w:rFonts w:ascii="Arial" w:eastAsia="Calibri" w:hAnsi="Arial" w:cs="Arial"/>
          <w:b/>
          <w:sz w:val="22"/>
          <w:szCs w:val="22"/>
          <w:lang w:eastAsia="en-US"/>
        </w:rPr>
        <w:t xml:space="preserve"> includes</w:t>
      </w:r>
      <w:r w:rsidR="00BA7640" w:rsidRPr="00B41FF2">
        <w:rPr>
          <w:rFonts w:ascii="Arial" w:eastAsia="Calibri" w:hAnsi="Arial" w:cs="Arial"/>
          <w:b/>
          <w:sz w:val="22"/>
          <w:szCs w:val="22"/>
          <w:lang w:eastAsia="en-US"/>
        </w:rPr>
        <w:t xml:space="preserve"> a range of blood glucose testing meters which</w:t>
      </w:r>
      <w:r w:rsidR="005517B3" w:rsidRPr="00B41FF2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B52228" w:rsidRPr="00B41FF2" w:rsidRDefault="00B52228" w:rsidP="007B12A8">
      <w:p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52228" w:rsidRPr="00B41FF2" w:rsidRDefault="00BA7640" w:rsidP="007B12A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sz w:val="22"/>
          <w:szCs w:val="22"/>
          <w:lang w:eastAsia="en-US"/>
        </w:rPr>
        <w:t>Meet current ISO standards</w:t>
      </w:r>
      <w:r w:rsidR="005517B3" w:rsidRPr="00B41FF2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BA7640" w:rsidRPr="00B41FF2" w:rsidRDefault="007B12A8" w:rsidP="007B12A8">
      <w:pPr>
        <w:numPr>
          <w:ilvl w:val="0"/>
          <w:numId w:val="38"/>
        </w:numPr>
        <w:tabs>
          <w:tab w:val="left" w:pos="8760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sz w:val="22"/>
          <w:szCs w:val="22"/>
          <w:lang w:eastAsia="en-US"/>
        </w:rPr>
        <w:t>Possess a</w:t>
      </w:r>
      <w:r w:rsidR="00BA7640" w:rsidRPr="00B41FF2">
        <w:rPr>
          <w:rFonts w:ascii="Arial" w:eastAsia="Calibri" w:hAnsi="Arial" w:cs="Arial"/>
          <w:sz w:val="22"/>
          <w:szCs w:val="22"/>
          <w:lang w:eastAsia="en-US"/>
        </w:rPr>
        <w:t xml:space="preserve"> range of c</w:t>
      </w:r>
      <w:r w:rsidR="00B52228" w:rsidRPr="00B41FF2">
        <w:rPr>
          <w:rFonts w:ascii="Arial" w:eastAsia="Calibri" w:hAnsi="Arial" w:cs="Arial"/>
          <w:sz w:val="22"/>
          <w:szCs w:val="22"/>
          <w:lang w:eastAsia="en-US"/>
        </w:rPr>
        <w:t xml:space="preserve">linical features </w:t>
      </w:r>
      <w:r w:rsidR="00BA7640" w:rsidRPr="00B41FF2">
        <w:rPr>
          <w:rFonts w:ascii="Arial" w:eastAsia="Calibri" w:hAnsi="Arial" w:cs="Arial"/>
          <w:sz w:val="22"/>
          <w:szCs w:val="22"/>
          <w:lang w:eastAsia="en-US"/>
        </w:rPr>
        <w:t xml:space="preserve">and highlights those patient groups for whom they are </w:t>
      </w:r>
      <w:r w:rsidRPr="00B41FF2">
        <w:rPr>
          <w:rFonts w:ascii="Arial" w:eastAsia="Calibri" w:hAnsi="Arial" w:cs="Arial"/>
          <w:sz w:val="22"/>
          <w:szCs w:val="22"/>
          <w:lang w:eastAsia="en-US"/>
        </w:rPr>
        <w:t xml:space="preserve">considered </w:t>
      </w:r>
      <w:r w:rsidR="005517B3" w:rsidRPr="00B41FF2">
        <w:rPr>
          <w:rFonts w:ascii="Arial" w:eastAsia="Calibri" w:hAnsi="Arial" w:cs="Arial"/>
          <w:sz w:val="22"/>
          <w:szCs w:val="22"/>
          <w:lang w:eastAsia="en-US"/>
        </w:rPr>
        <w:t>most suitable;</w:t>
      </w:r>
      <w:r w:rsidR="00B52228" w:rsidRPr="00B41F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52228" w:rsidRPr="00B41FF2" w:rsidRDefault="007B12A8" w:rsidP="007B12A8">
      <w:pPr>
        <w:numPr>
          <w:ilvl w:val="0"/>
          <w:numId w:val="38"/>
        </w:numPr>
        <w:tabs>
          <w:tab w:val="left" w:pos="8760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sz w:val="22"/>
          <w:szCs w:val="22"/>
          <w:lang w:eastAsia="en-US"/>
        </w:rPr>
        <w:t>Are compatible with c</w:t>
      </w:r>
      <w:r w:rsidR="00B52228" w:rsidRPr="00B41FF2">
        <w:rPr>
          <w:rFonts w:ascii="Arial" w:eastAsia="Calibri" w:hAnsi="Arial" w:cs="Arial"/>
          <w:sz w:val="22"/>
          <w:szCs w:val="22"/>
          <w:lang w:eastAsia="en-US"/>
        </w:rPr>
        <w:t xml:space="preserve">ost </w:t>
      </w:r>
      <w:r w:rsidR="00BA7640" w:rsidRPr="00B41FF2">
        <w:rPr>
          <w:rFonts w:ascii="Arial" w:eastAsia="Calibri" w:hAnsi="Arial" w:cs="Arial"/>
          <w:sz w:val="22"/>
          <w:szCs w:val="22"/>
          <w:lang w:eastAsia="en-US"/>
        </w:rPr>
        <w:t>effective</w:t>
      </w:r>
      <w:r w:rsidR="00B52228" w:rsidRPr="00B41FF2">
        <w:rPr>
          <w:rFonts w:ascii="Arial" w:eastAsia="Calibri" w:hAnsi="Arial" w:cs="Arial"/>
          <w:sz w:val="22"/>
          <w:szCs w:val="22"/>
          <w:lang w:eastAsia="en-US"/>
        </w:rPr>
        <w:t xml:space="preserve"> testing strips</w:t>
      </w:r>
      <w:r w:rsidRPr="00B41FF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C2956" w:rsidRPr="00B41FF2" w:rsidRDefault="006C2956" w:rsidP="006C2956">
      <w:pPr>
        <w:tabs>
          <w:tab w:val="left" w:pos="8760"/>
        </w:tabs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Start w:id="3" w:name="_MON_1568184105"/>
    <w:bookmarkEnd w:id="3"/>
    <w:p w:rsidR="00B41FF2" w:rsidRPr="00B41FF2" w:rsidRDefault="00A02650" w:rsidP="00B41FF2">
      <w:pPr>
        <w:tabs>
          <w:tab w:val="left" w:pos="8760"/>
        </w:tabs>
        <w:spacing w:after="200" w:line="276" w:lineRule="auto"/>
        <w:ind w:left="-113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object w:dxaOrig="1531" w:dyaOrig="990">
          <v:shape id="_x0000_i1028" type="#_x0000_t75" style="width:76.5pt;height:49.5pt" o:ole="">
            <v:imagedata r:id="rId17" o:title=""/>
          </v:shape>
          <o:OLEObject Type="Embed" ProgID="Word.Document.12" ShapeID="_x0000_i1028" DrawAspect="Icon" ObjectID="_1568723845" r:id="rId18">
            <o:FieldCodes>\s</o:FieldCodes>
          </o:OLEObject>
        </w:object>
      </w:r>
    </w:p>
    <w:p w:rsidR="007B12A8" w:rsidRDefault="007B12A8" w:rsidP="00B41FF2">
      <w:pPr>
        <w:spacing w:line="276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NB. Requests for meters and testing strips outside of this guidance should be at the request of the Specialist Diabetes team only and where an individual patient need has been identified.</w:t>
      </w:r>
      <w:r w:rsidR="00832052" w:rsidRPr="00B41FF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  <w:r w:rsidRPr="00B41FF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Meters should be provided free of char</w:t>
      </w:r>
      <w:r w:rsidR="00B41FF2" w:rsidRPr="00B41FF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ge from GP surgeries or diabetes</w:t>
      </w:r>
      <w:r w:rsidRPr="00B41FF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clinics. Patients should be dissuaded from buying their own meter – the prescribing of stri</w:t>
      </w:r>
      <w:r w:rsidR="00B41FF2" w:rsidRPr="00B41FF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ps and lancets for patients</w:t>
      </w:r>
      <w:r w:rsidR="00B41FF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’</w:t>
      </w:r>
      <w:r w:rsidR="00B41FF2" w:rsidRPr="00B41FF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own-</w:t>
      </w:r>
      <w:r w:rsidRPr="00B41FF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purchased meters is not supported by the CCG.</w:t>
      </w:r>
    </w:p>
    <w:p w:rsidR="00B41FF2" w:rsidRPr="00B41FF2" w:rsidRDefault="00B41FF2" w:rsidP="00B41FF2">
      <w:pPr>
        <w:spacing w:line="276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832052" w:rsidRDefault="00832052" w:rsidP="00B41FF2">
      <w:pPr>
        <w:spacing w:after="200" w:line="276" w:lineRule="auto"/>
        <w:jc w:val="center"/>
        <w:rPr>
          <w:rStyle w:val="Hyperlink"/>
          <w:rFonts w:ascii="Arial" w:eastAsia="Calibri" w:hAnsi="Arial" w:cs="Arial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sz w:val="22"/>
          <w:szCs w:val="22"/>
          <w:lang w:eastAsia="en-US"/>
        </w:rPr>
        <w:t>Both sets of guidance are available under the formulary tab on the Medic</w:t>
      </w:r>
      <w:r w:rsidR="00B41FF2" w:rsidRPr="00B41FF2">
        <w:rPr>
          <w:rFonts w:ascii="Arial" w:eastAsia="Calibri" w:hAnsi="Arial" w:cs="Arial"/>
          <w:sz w:val="22"/>
          <w:szCs w:val="22"/>
          <w:lang w:eastAsia="en-US"/>
        </w:rPr>
        <w:t>ines Optimisation Team site on S</w:t>
      </w:r>
      <w:r w:rsidRPr="00B41FF2">
        <w:rPr>
          <w:rFonts w:ascii="Arial" w:eastAsia="Calibri" w:hAnsi="Arial" w:cs="Arial"/>
          <w:sz w:val="22"/>
          <w:szCs w:val="22"/>
          <w:lang w:eastAsia="en-US"/>
        </w:rPr>
        <w:t>harepoint</w:t>
      </w:r>
      <w:r w:rsidR="00B41FF2" w:rsidRPr="00B41FF2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B41F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9" w:history="1">
        <w:r w:rsidRPr="00B41FF2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http://ccg.centrallancashire.nhs.uk/mmopt/SitePages/Home.aspx</w:t>
        </w:r>
      </w:hyperlink>
    </w:p>
    <w:p w:rsidR="00B41FF2" w:rsidRPr="00B41FF2" w:rsidRDefault="00B41FF2" w:rsidP="00B41FF2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1800" cy="581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81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FF2" w:rsidRPr="00B41FF2" w:rsidRDefault="00B41FF2" w:rsidP="00B41FF2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41FF2">
                              <w:rPr>
                                <w:rStyle w:val="Hyperlink"/>
                                <w:rFonts w:ascii="Arial" w:eastAsia="Calibri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The Freestyle Libre Sensor glucose monitoring system has been recently reviewed by the CCGs’ Medicines Management Group and provisionally RAG rated GREY - </w:t>
                            </w:r>
                            <w:r w:rsidRPr="00B41FF2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Medicines which have not yet been reviewed </w:t>
                            </w:r>
                            <w:r w:rsidRPr="00B41FF2">
                              <w:rPr>
                                <w:rStyle w:val="Hyperlink"/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by LMMG. </w:t>
                            </w:r>
                            <w:r w:rsidRPr="00B41FF2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GPs and specialists are recommended not to prescribe these drugs.</w:t>
                            </w:r>
                          </w:p>
                          <w:p w:rsidR="00B41FF2" w:rsidRDefault="00B41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4pt;height:4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" fillcolor="#c6d9f1 [671]">
                <v:textbox>
                  <w:txbxContent>
                    <w:p w:rsidR="00B41FF2" w:rsidRPr="00B41FF2" w:rsidRDefault="00B41FF2" w:rsidP="00B41FF2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B41FF2">
                        <w:rPr>
                          <w:rStyle w:val="Hyperlink"/>
                          <w:rFonts w:ascii="Arial" w:eastAsia="Calibri" w:hAnsi="Arial" w:cs="Arial"/>
                          <w:sz w:val="20"/>
                          <w:szCs w:val="20"/>
                          <w:u w:val="none"/>
                        </w:rPr>
                        <w:t xml:space="preserve">The Freestyle Libre Sensor glucose monitoring system has been recently reviewed by the CCGs’ Medicines Management Group and provisionally RAG rated GREY - </w:t>
                      </w:r>
                      <w:r w:rsidRPr="00B41FF2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  <w:lang w:eastAsia="en-US"/>
                        </w:rPr>
                        <w:t xml:space="preserve">Medicines which have not yet been reviewed </w:t>
                      </w:r>
                      <w:r w:rsidRPr="00B41FF2">
                        <w:rPr>
                          <w:rStyle w:val="Hyperlink"/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by LMMG. </w:t>
                      </w:r>
                      <w:r w:rsidRPr="00B41FF2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  <w:lang w:eastAsia="en-US"/>
                        </w:rPr>
                        <w:t>GPs and specialists are recommended not to prescribe these drugs.</w:t>
                      </w:r>
                    </w:p>
                    <w:p w:rsidR="00B41FF2" w:rsidRDefault="00B41FF2"/>
                  </w:txbxContent>
                </v:textbox>
              </v:shape>
            </w:pict>
          </mc:Fallback>
        </mc:AlternateContent>
      </w:r>
    </w:p>
    <w:p w:rsidR="00B41FF2" w:rsidRDefault="00B41FF2" w:rsidP="00B41FF2">
      <w:pPr>
        <w:tabs>
          <w:tab w:val="left" w:pos="876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41FF2" w:rsidRDefault="00B41FF2" w:rsidP="00B41FF2">
      <w:pPr>
        <w:tabs>
          <w:tab w:val="left" w:pos="8760"/>
        </w:tabs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41FF2" w:rsidRDefault="00B41FF2" w:rsidP="00B41FF2">
      <w:pPr>
        <w:tabs>
          <w:tab w:val="left" w:pos="876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F2036" w:rsidRPr="00B41FF2" w:rsidRDefault="002E4841" w:rsidP="00B41FF2">
      <w:pPr>
        <w:tabs>
          <w:tab w:val="left" w:pos="8760"/>
        </w:tabs>
        <w:jc w:val="center"/>
        <w:rPr>
          <w:rFonts w:ascii="Arial" w:hAnsi="Arial" w:cs="Arial"/>
          <w:sz w:val="20"/>
          <w:szCs w:val="20"/>
        </w:rPr>
      </w:pPr>
      <w:r w:rsidRPr="002E4841">
        <w:rPr>
          <w:rFonts w:ascii="Arial" w:eastAsia="Calibri" w:hAnsi="Arial" w:cs="Arial"/>
          <w:b/>
          <w:sz w:val="20"/>
          <w:szCs w:val="20"/>
          <w:lang w:eastAsia="en-US"/>
        </w:rPr>
        <w:t>To contact the Medicines Optimisation Team please phone 01772 214302</w:t>
      </w:r>
    </w:p>
    <w:sectPr w:rsidR="00FF2036" w:rsidRPr="00B41FF2" w:rsidSect="00BB2009">
      <w:headerReference w:type="default" r:id="rId20"/>
      <w:footerReference w:type="default" r:id="rId21"/>
      <w:pgSz w:w="11906" w:h="16838" w:code="9"/>
      <w:pgMar w:top="720" w:right="567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AD" w:rsidRDefault="00724AAD" w:rsidP="009E7620">
      <w:r>
        <w:separator/>
      </w:r>
    </w:p>
  </w:endnote>
  <w:endnote w:type="continuationSeparator" w:id="0">
    <w:p w:rsidR="00724AAD" w:rsidRDefault="00724AAD" w:rsidP="009E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8C" w:rsidRDefault="00FF2036" w:rsidP="00411E43">
    <w:pPr>
      <w:pStyle w:val="Footer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893E01E" wp14:editId="1C09A496">
          <wp:simplePos x="0" y="0"/>
          <wp:positionH relativeFrom="column">
            <wp:posOffset>5516879</wp:posOffset>
          </wp:positionH>
          <wp:positionV relativeFrom="paragraph">
            <wp:posOffset>-48895</wp:posOffset>
          </wp:positionV>
          <wp:extent cx="1457325" cy="79864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98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8FBBF1F" wp14:editId="2CDFDDAE">
          <wp:simplePos x="0" y="0"/>
          <wp:positionH relativeFrom="column">
            <wp:posOffset>-265430</wp:posOffset>
          </wp:positionH>
          <wp:positionV relativeFrom="paragraph">
            <wp:posOffset>93980</wp:posOffset>
          </wp:positionV>
          <wp:extent cx="1547369" cy="6949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369" cy="69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2009" w:rsidRPr="00AE5006" w:rsidRDefault="00FF2036" w:rsidP="00BB2009">
    <w:pPr>
      <w:jc w:val="center"/>
      <w:rPr>
        <w:rFonts w:ascii="Helvetica" w:hAnsi="Helvetica" w:cs="Arial"/>
        <w:b/>
        <w:sz w:val="20"/>
        <w:szCs w:val="20"/>
        <w:lang w:val="en-US" w:eastAsia="en-US"/>
      </w:rPr>
    </w:pPr>
    <w:r w:rsidRPr="00AE5006">
      <w:rPr>
        <w:rFonts w:ascii="Helvetica" w:hAnsi="Helvetica" w:cs="Arial"/>
        <w:b/>
        <w:sz w:val="20"/>
        <w:szCs w:val="20"/>
        <w:lang w:val="en-US" w:eastAsia="en-US"/>
      </w:rPr>
      <w:t xml:space="preserve"> </w:t>
    </w:r>
  </w:p>
  <w:p w:rsidR="0084208C" w:rsidRPr="00BB2009" w:rsidRDefault="0084208C" w:rsidP="00411E43">
    <w:pPr>
      <w:pStyle w:val="Footer"/>
      <w:jc w:val="center"/>
      <w:rPr>
        <w:noProof/>
      </w:rPr>
    </w:pPr>
  </w:p>
  <w:p w:rsidR="00AE5006" w:rsidRPr="00BB2009" w:rsidRDefault="00AE5006" w:rsidP="00AE5006">
    <w:pPr>
      <w:rPr>
        <w:rFonts w:ascii="Helvetica" w:hAnsi="Helvetica" w:cs="Arial"/>
        <w:b/>
        <w:sz w:val="22"/>
        <w:szCs w:val="22"/>
        <w:lang w:val="en-US" w:eastAsia="en-US"/>
      </w:rPr>
    </w:pPr>
    <w:r w:rsidRPr="00BB2009">
      <w:rPr>
        <w:rFonts w:ascii="Helvetica" w:hAnsi="Helvetica" w:cs="Arial"/>
        <w:sz w:val="22"/>
        <w:szCs w:val="22"/>
        <w:lang w:val="en-US" w:eastAsia="en-US"/>
      </w:rPr>
      <w:t xml:space="preserve">                        </w:t>
    </w:r>
    <w:r w:rsidRPr="00BB2009">
      <w:rPr>
        <w:rFonts w:ascii="Helvetica" w:hAnsi="Helvetica" w:cs="Arial"/>
        <w:b/>
        <w:sz w:val="22"/>
        <w:szCs w:val="22"/>
        <w:lang w:val="en-US" w:eastAsia="en-US"/>
      </w:rPr>
      <w:t xml:space="preserve">                        </w:t>
    </w:r>
    <w:r w:rsidR="00BB2009">
      <w:rPr>
        <w:rFonts w:ascii="Helvetica" w:hAnsi="Helvetica" w:cs="Arial"/>
        <w:b/>
        <w:sz w:val="22"/>
        <w:szCs w:val="22"/>
        <w:lang w:val="en-US" w:eastAsia="en-US"/>
      </w:rPr>
      <w:t xml:space="preserve">              </w:t>
    </w:r>
  </w:p>
  <w:p w:rsidR="0084208C" w:rsidRPr="00AE5006" w:rsidRDefault="0084208C" w:rsidP="00411E43">
    <w:pPr>
      <w:pStyle w:val="Footer"/>
      <w:jc w:val="center"/>
    </w:pPr>
    <w:r w:rsidRPr="00AE500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AD" w:rsidRDefault="00724AAD" w:rsidP="009E7620">
      <w:r>
        <w:separator/>
      </w:r>
    </w:p>
  </w:footnote>
  <w:footnote w:type="continuationSeparator" w:id="0">
    <w:p w:rsidR="00724AAD" w:rsidRDefault="00724AAD" w:rsidP="009E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8C" w:rsidRDefault="00961D55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5A8A483" wp14:editId="21BC0CCF">
          <wp:simplePos x="0" y="0"/>
          <wp:positionH relativeFrom="margin">
            <wp:posOffset>5706745</wp:posOffset>
          </wp:positionH>
          <wp:positionV relativeFrom="margin">
            <wp:posOffset>-760095</wp:posOffset>
          </wp:positionV>
          <wp:extent cx="1343025" cy="623570"/>
          <wp:effectExtent l="0" t="0" r="9525" b="5080"/>
          <wp:wrapSquare wrapText="bothSides"/>
          <wp:docPr id="4" name="Picture 4" descr="C:\Users\victoria.birchall\AppData\Local\Microsoft\Windows\Temporary Internet Files\Content.Outlook\LWY3BIE2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.birchall\AppData\Local\Microsoft\Windows\Temporary Internet Files\Content.Outlook\LWY3BIE2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6442529" wp14:editId="3F526611">
          <wp:simplePos x="0" y="0"/>
          <wp:positionH relativeFrom="margin">
            <wp:posOffset>134620</wp:posOffset>
          </wp:positionH>
          <wp:positionV relativeFrom="margin">
            <wp:posOffset>-788670</wp:posOffset>
          </wp:positionV>
          <wp:extent cx="495300" cy="571500"/>
          <wp:effectExtent l="0" t="0" r="0" b="0"/>
          <wp:wrapSquare wrapText="bothSides"/>
          <wp:docPr id="2" name="Picture 2" descr="http://staff.midlandsandlancashirecsu.nhs.uk/joomlatools-files/docman-images/generated/26657d5ff9020d2abefe558796b9958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.midlandsandlancashirecsu.nhs.uk/joomlatools-files/docman-images/generated/26657d5ff9020d2abefe558796b9958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77A">
      <w:rPr>
        <w:noProof/>
      </w:rPr>
      <w:t xml:space="preserve"> </w:t>
    </w:r>
    <w:r w:rsidR="0084208C">
      <w:rPr>
        <w:rFonts w:ascii="Arial" w:hAnsi="Arial" w:cs="Arial"/>
        <w:b/>
      </w:rPr>
      <w:t xml:space="preserve">                                                </w:t>
    </w:r>
  </w:p>
  <w:p w:rsidR="005C1A6D" w:rsidRDefault="00AE5006" w:rsidP="00AE5006">
    <w:pPr>
      <w:pStyle w:val="Heading1"/>
      <w:shd w:val="clear" w:color="auto" w:fill="FFFFFF"/>
      <w:spacing w:before="0" w:line="720" w:lineRule="atLeast"/>
      <w:rPr>
        <w:rFonts w:ascii="Helvetica" w:eastAsia="Times New Roman" w:hAnsi="Helvetica" w:cs="Times New Roman"/>
        <w:b w:val="0"/>
        <w:bCs w:val="0"/>
        <w:color w:val="0E0E0E"/>
        <w:kern w:val="36"/>
        <w:sz w:val="40"/>
        <w:szCs w:val="40"/>
      </w:rPr>
    </w:pPr>
    <w:r>
      <w:rPr>
        <w:rFonts w:ascii="Helvetica" w:eastAsia="Times New Roman" w:hAnsi="Helvetica" w:cs="Times New Roman"/>
        <w:b w:val="0"/>
        <w:bCs w:val="0"/>
        <w:color w:val="0E0E0E"/>
        <w:kern w:val="36"/>
        <w:sz w:val="40"/>
        <w:szCs w:val="40"/>
      </w:rPr>
      <w:t xml:space="preserve">                            </w:t>
    </w:r>
  </w:p>
  <w:p w:rsidR="00DA077A" w:rsidRPr="00DA077A" w:rsidRDefault="00DA077A" w:rsidP="00DA077A"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572281A7" wp14:editId="61D4B796">
          <wp:extent cx="6840220" cy="6840220"/>
          <wp:effectExtent l="0" t="0" r="0" b="0"/>
          <wp:docPr id="7" name="Picture 7" descr="Image result for compression stock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ompression stocking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84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08C" w:rsidRDefault="0084208C" w:rsidP="00940BD0">
    <w:pPr>
      <w:pStyle w:val="Header"/>
      <w:jc w:val="right"/>
    </w:pPr>
    <w:r w:rsidRPr="003416E2">
      <w:ptab w:relativeTo="margin" w:alignment="right" w:leader="none"/>
    </w:r>
    <w:r>
      <w:t xml:space="preserve">       </w:t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78A"/>
    <w:multiLevelType w:val="hybridMultilevel"/>
    <w:tmpl w:val="C1EC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BBA"/>
    <w:multiLevelType w:val="hybridMultilevel"/>
    <w:tmpl w:val="C8F02A18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3E84"/>
    <w:multiLevelType w:val="hybridMultilevel"/>
    <w:tmpl w:val="35822808"/>
    <w:lvl w:ilvl="0" w:tplc="87C4E83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E2F4070"/>
    <w:multiLevelType w:val="hybridMultilevel"/>
    <w:tmpl w:val="7EC23E2C"/>
    <w:lvl w:ilvl="0" w:tplc="87C4E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60CE0"/>
    <w:multiLevelType w:val="hybridMultilevel"/>
    <w:tmpl w:val="57B2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813E0"/>
    <w:multiLevelType w:val="hybridMultilevel"/>
    <w:tmpl w:val="E0E66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262F4B"/>
    <w:multiLevelType w:val="hybridMultilevel"/>
    <w:tmpl w:val="23282FF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B23CEA"/>
    <w:multiLevelType w:val="hybridMultilevel"/>
    <w:tmpl w:val="2612E0EE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B076D"/>
    <w:multiLevelType w:val="hybridMultilevel"/>
    <w:tmpl w:val="B44EC670"/>
    <w:lvl w:ilvl="0" w:tplc="4F3C3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7B29A1"/>
    <w:multiLevelType w:val="hybridMultilevel"/>
    <w:tmpl w:val="9E4691C8"/>
    <w:lvl w:ilvl="0" w:tplc="87C4E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B23097"/>
    <w:multiLevelType w:val="hybridMultilevel"/>
    <w:tmpl w:val="7BA02F48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835B9"/>
    <w:multiLevelType w:val="hybridMultilevel"/>
    <w:tmpl w:val="76088D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F0205C"/>
    <w:multiLevelType w:val="hybridMultilevel"/>
    <w:tmpl w:val="7ED0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45DA2"/>
    <w:multiLevelType w:val="hybridMultilevel"/>
    <w:tmpl w:val="A5DA0E6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2885484"/>
    <w:multiLevelType w:val="hybridMultilevel"/>
    <w:tmpl w:val="27DA464A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2822B5"/>
    <w:multiLevelType w:val="hybridMultilevel"/>
    <w:tmpl w:val="8BDE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E26FE"/>
    <w:multiLevelType w:val="hybridMultilevel"/>
    <w:tmpl w:val="18FA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65F86"/>
    <w:multiLevelType w:val="hybridMultilevel"/>
    <w:tmpl w:val="DC10FF4E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B1B24"/>
    <w:multiLevelType w:val="hybridMultilevel"/>
    <w:tmpl w:val="F966542E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DB4A32"/>
    <w:multiLevelType w:val="hybridMultilevel"/>
    <w:tmpl w:val="624E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602F5"/>
    <w:multiLevelType w:val="hybridMultilevel"/>
    <w:tmpl w:val="25E4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F71CF"/>
    <w:multiLevelType w:val="hybridMultilevel"/>
    <w:tmpl w:val="BA9468C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8870693"/>
    <w:multiLevelType w:val="hybridMultilevel"/>
    <w:tmpl w:val="E748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570A7"/>
    <w:multiLevelType w:val="hybridMultilevel"/>
    <w:tmpl w:val="EDE40A88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007681"/>
    <w:multiLevelType w:val="hybridMultilevel"/>
    <w:tmpl w:val="4348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93289"/>
    <w:multiLevelType w:val="hybridMultilevel"/>
    <w:tmpl w:val="C998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41B81"/>
    <w:multiLevelType w:val="hybridMultilevel"/>
    <w:tmpl w:val="C12A1A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6192195"/>
    <w:multiLevelType w:val="hybridMultilevel"/>
    <w:tmpl w:val="0B58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45B68"/>
    <w:multiLevelType w:val="multilevel"/>
    <w:tmpl w:val="D768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7D08C5"/>
    <w:multiLevelType w:val="hybridMultilevel"/>
    <w:tmpl w:val="8E90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10580"/>
    <w:multiLevelType w:val="hybridMultilevel"/>
    <w:tmpl w:val="1E446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D367B1"/>
    <w:multiLevelType w:val="hybridMultilevel"/>
    <w:tmpl w:val="98626E40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0071042"/>
    <w:multiLevelType w:val="hybridMultilevel"/>
    <w:tmpl w:val="66623690"/>
    <w:lvl w:ilvl="0" w:tplc="12EC62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E311F"/>
    <w:multiLevelType w:val="hybridMultilevel"/>
    <w:tmpl w:val="5FAA6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24A97"/>
    <w:multiLevelType w:val="hybridMultilevel"/>
    <w:tmpl w:val="74EE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44E44"/>
    <w:multiLevelType w:val="hybridMultilevel"/>
    <w:tmpl w:val="ADAA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53E16"/>
    <w:multiLevelType w:val="hybridMultilevel"/>
    <w:tmpl w:val="28326078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35052D"/>
    <w:multiLevelType w:val="hybridMultilevel"/>
    <w:tmpl w:val="AE021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8"/>
  </w:num>
  <w:num w:numId="10">
    <w:abstractNumId w:val="8"/>
  </w:num>
  <w:num w:numId="11">
    <w:abstractNumId w:val="31"/>
  </w:num>
  <w:num w:numId="12">
    <w:abstractNumId w:val="23"/>
  </w:num>
  <w:num w:numId="13">
    <w:abstractNumId w:val="26"/>
  </w:num>
  <w:num w:numId="14">
    <w:abstractNumId w:val="11"/>
  </w:num>
  <w:num w:numId="15">
    <w:abstractNumId w:val="37"/>
  </w:num>
  <w:num w:numId="16">
    <w:abstractNumId w:val="29"/>
  </w:num>
  <w:num w:numId="17">
    <w:abstractNumId w:val="13"/>
  </w:num>
  <w:num w:numId="18">
    <w:abstractNumId w:val="10"/>
  </w:num>
  <w:num w:numId="19">
    <w:abstractNumId w:val="30"/>
  </w:num>
  <w:num w:numId="20">
    <w:abstractNumId w:val="24"/>
  </w:num>
  <w:num w:numId="21">
    <w:abstractNumId w:val="12"/>
  </w:num>
  <w:num w:numId="22">
    <w:abstractNumId w:val="1"/>
  </w:num>
  <w:num w:numId="23">
    <w:abstractNumId w:val="3"/>
  </w:num>
  <w:num w:numId="24">
    <w:abstractNumId w:val="35"/>
  </w:num>
  <w:num w:numId="25">
    <w:abstractNumId w:val="17"/>
  </w:num>
  <w:num w:numId="26">
    <w:abstractNumId w:val="27"/>
  </w:num>
  <w:num w:numId="27">
    <w:abstractNumId w:val="14"/>
  </w:num>
  <w:num w:numId="28">
    <w:abstractNumId w:val="9"/>
  </w:num>
  <w:num w:numId="29">
    <w:abstractNumId w:val="36"/>
  </w:num>
  <w:num w:numId="30">
    <w:abstractNumId w:val="28"/>
  </w:num>
  <w:num w:numId="31">
    <w:abstractNumId w:val="33"/>
  </w:num>
  <w:num w:numId="32">
    <w:abstractNumId w:val="21"/>
  </w:num>
  <w:num w:numId="33">
    <w:abstractNumId w:val="34"/>
  </w:num>
  <w:num w:numId="34">
    <w:abstractNumId w:val="15"/>
  </w:num>
  <w:num w:numId="35">
    <w:abstractNumId w:val="32"/>
  </w:num>
  <w:num w:numId="36">
    <w:abstractNumId w:val="4"/>
  </w:num>
  <w:num w:numId="37">
    <w:abstractNumId w:val="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43"/>
    <w:rsid w:val="00023B91"/>
    <w:rsid w:val="000E6A72"/>
    <w:rsid w:val="00103B91"/>
    <w:rsid w:val="00112B43"/>
    <w:rsid w:val="001B3B81"/>
    <w:rsid w:val="001C139C"/>
    <w:rsid w:val="001C73AC"/>
    <w:rsid w:val="001E7257"/>
    <w:rsid w:val="00243590"/>
    <w:rsid w:val="002452CC"/>
    <w:rsid w:val="00260791"/>
    <w:rsid w:val="00264893"/>
    <w:rsid w:val="00277E2F"/>
    <w:rsid w:val="00287072"/>
    <w:rsid w:val="002E4841"/>
    <w:rsid w:val="00301F8D"/>
    <w:rsid w:val="003416E2"/>
    <w:rsid w:val="003A3755"/>
    <w:rsid w:val="003E2E73"/>
    <w:rsid w:val="00411E43"/>
    <w:rsid w:val="004314AB"/>
    <w:rsid w:val="00480D43"/>
    <w:rsid w:val="00486A30"/>
    <w:rsid w:val="004B4AA7"/>
    <w:rsid w:val="004B507F"/>
    <w:rsid w:val="004C09F8"/>
    <w:rsid w:val="004D1B25"/>
    <w:rsid w:val="004E1F19"/>
    <w:rsid w:val="004E3943"/>
    <w:rsid w:val="005060E4"/>
    <w:rsid w:val="00507079"/>
    <w:rsid w:val="005517B3"/>
    <w:rsid w:val="005A723B"/>
    <w:rsid w:val="005A7BED"/>
    <w:rsid w:val="005C0A31"/>
    <w:rsid w:val="005C1A6D"/>
    <w:rsid w:val="005D20BD"/>
    <w:rsid w:val="005D45E9"/>
    <w:rsid w:val="005E3DF7"/>
    <w:rsid w:val="00606738"/>
    <w:rsid w:val="00646386"/>
    <w:rsid w:val="00655503"/>
    <w:rsid w:val="00660B2E"/>
    <w:rsid w:val="0066217B"/>
    <w:rsid w:val="0068007C"/>
    <w:rsid w:val="00684BA1"/>
    <w:rsid w:val="006A7D7C"/>
    <w:rsid w:val="006C2956"/>
    <w:rsid w:val="006F7CE1"/>
    <w:rsid w:val="00724AAD"/>
    <w:rsid w:val="00732C44"/>
    <w:rsid w:val="007450CC"/>
    <w:rsid w:val="00764B1A"/>
    <w:rsid w:val="007819F8"/>
    <w:rsid w:val="00784CC8"/>
    <w:rsid w:val="007B12A8"/>
    <w:rsid w:val="007B5D8F"/>
    <w:rsid w:val="007D17E3"/>
    <w:rsid w:val="007D58EA"/>
    <w:rsid w:val="00803C30"/>
    <w:rsid w:val="00832052"/>
    <w:rsid w:val="0084208C"/>
    <w:rsid w:val="008523C4"/>
    <w:rsid w:val="00883DF1"/>
    <w:rsid w:val="008A3719"/>
    <w:rsid w:val="008B2774"/>
    <w:rsid w:val="008C2319"/>
    <w:rsid w:val="008C7EB0"/>
    <w:rsid w:val="008E6E95"/>
    <w:rsid w:val="009257BF"/>
    <w:rsid w:val="00940BD0"/>
    <w:rsid w:val="00961D55"/>
    <w:rsid w:val="009A386C"/>
    <w:rsid w:val="009B0A42"/>
    <w:rsid w:val="009C365D"/>
    <w:rsid w:val="009E7620"/>
    <w:rsid w:val="00A02650"/>
    <w:rsid w:val="00A1723E"/>
    <w:rsid w:val="00A531D2"/>
    <w:rsid w:val="00A82F07"/>
    <w:rsid w:val="00AE5006"/>
    <w:rsid w:val="00B07E9A"/>
    <w:rsid w:val="00B36619"/>
    <w:rsid w:val="00B41FF2"/>
    <w:rsid w:val="00B47D3C"/>
    <w:rsid w:val="00B52228"/>
    <w:rsid w:val="00B75F59"/>
    <w:rsid w:val="00B83B96"/>
    <w:rsid w:val="00B85D15"/>
    <w:rsid w:val="00B96419"/>
    <w:rsid w:val="00BA7640"/>
    <w:rsid w:val="00BB2009"/>
    <w:rsid w:val="00C6310A"/>
    <w:rsid w:val="00CB3C2C"/>
    <w:rsid w:val="00CC176E"/>
    <w:rsid w:val="00CC2F51"/>
    <w:rsid w:val="00CC70F1"/>
    <w:rsid w:val="00CF6647"/>
    <w:rsid w:val="00D82844"/>
    <w:rsid w:val="00D82F09"/>
    <w:rsid w:val="00DA077A"/>
    <w:rsid w:val="00E64528"/>
    <w:rsid w:val="00E829BF"/>
    <w:rsid w:val="00E90387"/>
    <w:rsid w:val="00F244F6"/>
    <w:rsid w:val="00F24FE1"/>
    <w:rsid w:val="00F43BA3"/>
    <w:rsid w:val="00F76AF7"/>
    <w:rsid w:val="00F812DD"/>
    <w:rsid w:val="00F8265A"/>
    <w:rsid w:val="00FB08F0"/>
    <w:rsid w:val="00FD152C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A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C1A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C1A6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9C365D"/>
    <w:pPr>
      <w:ind w:left="720"/>
      <w:contextualSpacing/>
    </w:pPr>
  </w:style>
  <w:style w:type="table" w:styleId="TableGrid">
    <w:name w:val="Table Grid"/>
    <w:basedOn w:val="TableNormal"/>
    <w:uiPriority w:val="59"/>
    <w:rsid w:val="00CC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C1A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1A6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C1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2E73"/>
    <w:rPr>
      <w:color w:val="800080" w:themeColor="followedHyperlink"/>
      <w:u w:val="single"/>
    </w:rPr>
  </w:style>
  <w:style w:type="paragraph" w:customStyle="1" w:styleId="Default">
    <w:name w:val="Default"/>
    <w:rsid w:val="002E4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A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C1A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C1A6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9C365D"/>
    <w:pPr>
      <w:ind w:left="720"/>
      <w:contextualSpacing/>
    </w:pPr>
  </w:style>
  <w:style w:type="table" w:styleId="TableGrid">
    <w:name w:val="Table Grid"/>
    <w:basedOn w:val="TableNormal"/>
    <w:uiPriority w:val="59"/>
    <w:rsid w:val="00CC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C1A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1A6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C1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2E73"/>
    <w:rPr>
      <w:color w:val="800080" w:themeColor="followedHyperlink"/>
      <w:u w:val="single"/>
    </w:rPr>
  </w:style>
  <w:style w:type="paragraph" w:customStyle="1" w:styleId="Default">
    <w:name w:val="Default"/>
    <w:rsid w:val="002E4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3.docx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ccg.centrallancashire.nhs.uk/mmopt/SitePages/Hom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cad=rja&amp;uact=8&amp;ved=0ahUKEwjfzZvw87_WAhUBWxQKHbMjBU4QjRwIBw&amp;url=https://www.thesun.co.uk/living/1904258/diabetes-types-one-two-signs-treatment-symptoms/&amp;psig=AFQjCNGBhs3rVLvfQXdT8SISv5_w1MiWhA&amp;ust=1506414039779373" TargetMode="External"/><Relationship Id="rId14" Type="http://schemas.openxmlformats.org/officeDocument/2006/relationships/package" Target="embeddings/Microsoft_Word_Document1.docx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89E663F4C8498772338D62917A95" ma:contentTypeVersion="12" ma:contentTypeDescription="Create a new document." ma:contentTypeScope="" ma:versionID="6c6c7afd1c5a9546b48ce63cab8ef696">
  <xsd:schema xmlns:xsd="http://www.w3.org/2001/XMLSchema" xmlns:xs="http://www.w3.org/2001/XMLSchema" xmlns:p="http://schemas.microsoft.com/office/2006/metadata/properties" xmlns:ns2="af24ab2d-c015-4cc7-9cfd-5456fe4f6598" xmlns:ns3="33e73b4c-8ede-448e-a8d5-258df5ed0be1" targetNamespace="http://schemas.microsoft.com/office/2006/metadata/properties" ma:root="true" ma:fieldsID="da9a9bd7b89bc4835bb6ce200e4869d0" ns2:_="" ns3:_="">
    <xsd:import namespace="af24ab2d-c015-4cc7-9cfd-5456fe4f6598"/>
    <xsd:import namespace="33e73b4c-8ede-448e-a8d5-258df5ed0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ab2d-c015-4cc7-9cfd-5456fe4f6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3b4c-8ede-448e-a8d5-258df5ed0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3AD65-B314-4CA6-8637-199261755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64212-C217-4F86-A54A-EC549C8A6DEA}"/>
</file>

<file path=customXml/itemProps3.xml><?xml version="1.0" encoding="utf-8"?>
<ds:datastoreItem xmlns:ds="http://schemas.openxmlformats.org/officeDocument/2006/customXml" ds:itemID="{E816FDB9-1A84-4195-83DD-9FA0F2BD56B6}"/>
</file>

<file path=customXml/itemProps4.xml><?xml version="1.0" encoding="utf-8"?>
<ds:datastoreItem xmlns:ds="http://schemas.openxmlformats.org/officeDocument/2006/customXml" ds:itemID="{70201BDE-5B9F-4AE1-ACEA-617860A39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Birchall Victoria (CLPCT)</dc:creator>
  <cp:lastModifiedBy>NHS Lancashire CSU</cp:lastModifiedBy>
  <cp:revision>2</cp:revision>
  <cp:lastPrinted>2013-06-07T09:27:00Z</cp:lastPrinted>
  <dcterms:created xsi:type="dcterms:W3CDTF">2017-10-05T14:51:00Z</dcterms:created>
  <dcterms:modified xsi:type="dcterms:W3CDTF">2017-10-05T14:51:00Z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0x01010083FE89E663F4C8498772338D62917A95</vt:lpwstr>
  </property>
</Properties>
</file>